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7473" w14:textId="77777777" w:rsidR="007622D0" w:rsidRPr="007622D0" w:rsidRDefault="007622D0" w:rsidP="007622D0">
      <w:pPr>
        <w:rPr>
          <w:sz w:val="22"/>
          <w:szCs w:val="22"/>
        </w:rPr>
      </w:pPr>
      <w:r w:rsidRPr="007622D0">
        <w:rPr>
          <w:sz w:val="22"/>
          <w:szCs w:val="22"/>
        </w:rPr>
        <w:t>Mesdames, Messieurs les sénateurs,</w:t>
      </w:r>
    </w:p>
    <w:p w14:paraId="3A233F89" w14:textId="77777777" w:rsidR="007622D0" w:rsidRPr="007622D0" w:rsidRDefault="007622D0" w:rsidP="007622D0">
      <w:pPr>
        <w:rPr>
          <w:sz w:val="22"/>
          <w:szCs w:val="22"/>
        </w:rPr>
      </w:pPr>
      <w:r w:rsidRPr="007622D0">
        <w:rPr>
          <w:sz w:val="22"/>
          <w:szCs w:val="22"/>
        </w:rPr>
        <w:t>Mesdames, Messieurs les députés,</w:t>
      </w:r>
    </w:p>
    <w:p w14:paraId="108AB67E" w14:textId="3487BE6A" w:rsidR="008D2010" w:rsidRPr="000071A9" w:rsidRDefault="008D2010" w:rsidP="001474BB">
      <w:pPr>
        <w:rPr>
          <w:sz w:val="22"/>
          <w:szCs w:val="22"/>
        </w:rPr>
      </w:pPr>
    </w:p>
    <w:p w14:paraId="743B06C8" w14:textId="53C0BDB7" w:rsidR="00C35298" w:rsidRPr="000071A9" w:rsidRDefault="008D2010" w:rsidP="008D2010">
      <w:pPr>
        <w:jc w:val="both"/>
        <w:rPr>
          <w:sz w:val="22"/>
          <w:szCs w:val="22"/>
        </w:rPr>
      </w:pPr>
      <w:r w:rsidRPr="000071A9">
        <w:rPr>
          <w:sz w:val="22"/>
          <w:szCs w:val="22"/>
        </w:rPr>
        <w:t>Je me permets de vous interpeller concernant le projet de l</w:t>
      </w:r>
      <w:r w:rsidR="001474BB" w:rsidRPr="000071A9">
        <w:rPr>
          <w:sz w:val="22"/>
          <w:szCs w:val="22"/>
        </w:rPr>
        <w:t xml:space="preserve">oi de Financement de la Sécurité Sociale pour 2017, </w:t>
      </w:r>
      <w:r w:rsidRPr="000071A9">
        <w:rPr>
          <w:sz w:val="22"/>
          <w:szCs w:val="22"/>
        </w:rPr>
        <w:t xml:space="preserve">qui </w:t>
      </w:r>
      <w:r w:rsidR="001474BB" w:rsidRPr="000071A9">
        <w:rPr>
          <w:sz w:val="22"/>
          <w:szCs w:val="22"/>
        </w:rPr>
        <w:t>prévoit dans son article 10 (et ses amendements en cours), de soumettre à cotisations sociales auprès du RSI, les r</w:t>
      </w:r>
      <w:r w:rsidR="0036794F" w:rsidRPr="000071A9">
        <w:rPr>
          <w:sz w:val="22"/>
          <w:szCs w:val="22"/>
        </w:rPr>
        <w:t>e</w:t>
      </w:r>
      <w:r w:rsidR="00C35298" w:rsidRPr="000071A9">
        <w:rPr>
          <w:sz w:val="22"/>
          <w:szCs w:val="22"/>
        </w:rPr>
        <w:t xml:space="preserve">cettes </w:t>
      </w:r>
      <w:r w:rsidR="0036794F" w:rsidRPr="000071A9">
        <w:rPr>
          <w:sz w:val="22"/>
          <w:szCs w:val="22"/>
        </w:rPr>
        <w:t xml:space="preserve">de la location de meublés de tourisme </w:t>
      </w:r>
      <w:r w:rsidR="001474BB" w:rsidRPr="000071A9">
        <w:rPr>
          <w:sz w:val="22"/>
          <w:szCs w:val="22"/>
        </w:rPr>
        <w:t>dès lors qu'</w:t>
      </w:r>
      <w:r w:rsidRPr="000071A9">
        <w:rPr>
          <w:sz w:val="22"/>
          <w:szCs w:val="22"/>
        </w:rPr>
        <w:t xml:space="preserve">elles </w:t>
      </w:r>
      <w:r w:rsidR="001474BB" w:rsidRPr="000071A9">
        <w:rPr>
          <w:sz w:val="22"/>
          <w:szCs w:val="22"/>
        </w:rPr>
        <w:t>sont supérieur</w:t>
      </w:r>
      <w:r w:rsidRPr="000071A9">
        <w:rPr>
          <w:sz w:val="22"/>
          <w:szCs w:val="22"/>
        </w:rPr>
        <w:t>e</w:t>
      </w:r>
      <w:r w:rsidR="001474BB" w:rsidRPr="000071A9">
        <w:rPr>
          <w:sz w:val="22"/>
          <w:szCs w:val="22"/>
        </w:rPr>
        <w:t xml:space="preserve">s à </w:t>
      </w:r>
      <w:r w:rsidR="00C35298" w:rsidRPr="000071A9">
        <w:rPr>
          <w:sz w:val="22"/>
          <w:szCs w:val="22"/>
        </w:rPr>
        <w:t xml:space="preserve">23 000 Euros. Le Sénat a par ailleurs adopté un amendement visant à abaisser ce seuil à 15 691 euros.  </w:t>
      </w:r>
    </w:p>
    <w:p w14:paraId="2EBF55CE" w14:textId="3C0DB08E" w:rsidR="00C35298" w:rsidRPr="000071A9" w:rsidRDefault="001474BB" w:rsidP="00C35298">
      <w:pPr>
        <w:jc w:val="both"/>
        <w:rPr>
          <w:sz w:val="22"/>
          <w:szCs w:val="22"/>
        </w:rPr>
      </w:pPr>
      <w:r w:rsidRPr="000071A9">
        <w:rPr>
          <w:sz w:val="22"/>
          <w:szCs w:val="22"/>
        </w:rPr>
        <w:br/>
        <w:t>Les deux objectifs de cette mesure semblent être :</w:t>
      </w:r>
    </w:p>
    <w:p w14:paraId="09786630" w14:textId="77777777" w:rsidR="00236488" w:rsidRPr="000071A9" w:rsidRDefault="00C35298" w:rsidP="00236488">
      <w:pPr>
        <w:pStyle w:val="Pardeliste"/>
        <w:numPr>
          <w:ilvl w:val="0"/>
          <w:numId w:val="2"/>
        </w:numPr>
        <w:spacing w:before="120"/>
        <w:ind w:left="284" w:hanging="284"/>
        <w:jc w:val="both"/>
        <w:rPr>
          <w:sz w:val="22"/>
          <w:szCs w:val="22"/>
        </w:rPr>
      </w:pPr>
      <w:r w:rsidRPr="000071A9">
        <w:rPr>
          <w:sz w:val="22"/>
          <w:szCs w:val="22"/>
        </w:rPr>
        <w:t>D’</w:t>
      </w:r>
      <w:r w:rsidR="001474BB" w:rsidRPr="000071A9">
        <w:rPr>
          <w:sz w:val="22"/>
          <w:szCs w:val="22"/>
        </w:rPr>
        <w:t xml:space="preserve">imposer fiscalement et socialement les personnes qui bénéficient de revenus de </w:t>
      </w:r>
      <w:r w:rsidR="00A273EA" w:rsidRPr="000071A9">
        <w:rPr>
          <w:sz w:val="22"/>
          <w:szCs w:val="22"/>
        </w:rPr>
        <w:t xml:space="preserve">la </w:t>
      </w:r>
      <w:r w:rsidR="001474BB" w:rsidRPr="000071A9">
        <w:rPr>
          <w:sz w:val="22"/>
          <w:szCs w:val="22"/>
        </w:rPr>
        <w:t xml:space="preserve">location de meublés </w:t>
      </w:r>
      <w:r w:rsidR="00236488" w:rsidRPr="000071A9">
        <w:rPr>
          <w:sz w:val="22"/>
          <w:szCs w:val="22"/>
        </w:rPr>
        <w:t xml:space="preserve">de tourisme </w:t>
      </w:r>
      <w:r w:rsidR="001474BB" w:rsidRPr="000071A9">
        <w:rPr>
          <w:sz w:val="22"/>
          <w:szCs w:val="22"/>
        </w:rPr>
        <w:t>par l'intermédiaire d</w:t>
      </w:r>
      <w:r w:rsidR="00A273EA" w:rsidRPr="000071A9">
        <w:rPr>
          <w:sz w:val="22"/>
          <w:szCs w:val="22"/>
        </w:rPr>
        <w:t>e plateformes collaboratives</w:t>
      </w:r>
      <w:r w:rsidR="001474BB" w:rsidRPr="000071A9">
        <w:rPr>
          <w:sz w:val="22"/>
          <w:szCs w:val="22"/>
        </w:rPr>
        <w:t>, et qui, pour le moment, échappent à toute obligation déclarative.</w:t>
      </w:r>
    </w:p>
    <w:p w14:paraId="459B8308" w14:textId="36843880" w:rsidR="00C35298" w:rsidRPr="000071A9" w:rsidRDefault="001474BB" w:rsidP="00236488">
      <w:pPr>
        <w:pStyle w:val="Pardeliste"/>
        <w:spacing w:before="120"/>
        <w:ind w:left="284"/>
        <w:jc w:val="both"/>
        <w:rPr>
          <w:sz w:val="22"/>
          <w:szCs w:val="22"/>
        </w:rPr>
      </w:pPr>
      <w:r w:rsidRPr="000071A9">
        <w:rPr>
          <w:sz w:val="22"/>
          <w:szCs w:val="22"/>
        </w:rPr>
        <w:br/>
      </w:r>
      <w:r w:rsidRPr="000071A9">
        <w:rPr>
          <w:b/>
          <w:sz w:val="22"/>
          <w:szCs w:val="22"/>
        </w:rPr>
        <w:t xml:space="preserve">Mais pourquoi alors pénaliser la majorité de propriétaires de </w:t>
      </w:r>
      <w:r w:rsidR="00C35298" w:rsidRPr="000071A9">
        <w:rPr>
          <w:b/>
          <w:sz w:val="22"/>
          <w:szCs w:val="22"/>
        </w:rPr>
        <w:t>meublés de tourisme</w:t>
      </w:r>
      <w:r w:rsidR="00C35298" w:rsidRPr="000071A9">
        <w:rPr>
          <w:sz w:val="22"/>
          <w:szCs w:val="22"/>
        </w:rPr>
        <w:t xml:space="preserve"> </w:t>
      </w:r>
      <w:r w:rsidRPr="000071A9">
        <w:rPr>
          <w:sz w:val="22"/>
          <w:szCs w:val="22"/>
        </w:rPr>
        <w:t xml:space="preserve">qui ne sont pas concernés par ce type de plateformes et </w:t>
      </w:r>
      <w:r w:rsidRPr="000071A9">
        <w:rPr>
          <w:b/>
          <w:sz w:val="22"/>
          <w:szCs w:val="22"/>
        </w:rPr>
        <w:t>qui effectuent dans les règles leurs obligations fiscales</w:t>
      </w:r>
      <w:r w:rsidR="00C35298" w:rsidRPr="000071A9">
        <w:rPr>
          <w:sz w:val="22"/>
          <w:szCs w:val="22"/>
        </w:rPr>
        <w:t xml:space="preserve"> (impôt sur le revenu et contributions sociales) </w:t>
      </w:r>
      <w:r w:rsidRPr="000071A9">
        <w:rPr>
          <w:sz w:val="22"/>
          <w:szCs w:val="22"/>
        </w:rPr>
        <w:t>?</w:t>
      </w:r>
    </w:p>
    <w:p w14:paraId="4945526D" w14:textId="77777777" w:rsidR="00C35298" w:rsidRPr="000071A9" w:rsidRDefault="00C35298" w:rsidP="00C35298">
      <w:pPr>
        <w:pStyle w:val="Pardeliste"/>
        <w:spacing w:before="120"/>
        <w:ind w:left="284"/>
        <w:rPr>
          <w:sz w:val="22"/>
          <w:szCs w:val="22"/>
        </w:rPr>
      </w:pPr>
    </w:p>
    <w:p w14:paraId="1C4618BF" w14:textId="241E6C0A" w:rsidR="00A273EA" w:rsidRPr="000071A9" w:rsidRDefault="00C35298" w:rsidP="00910AF1">
      <w:pPr>
        <w:pStyle w:val="Pardeliste"/>
        <w:numPr>
          <w:ilvl w:val="0"/>
          <w:numId w:val="2"/>
        </w:numPr>
        <w:spacing w:before="120"/>
        <w:ind w:left="284" w:hanging="284"/>
        <w:jc w:val="both"/>
        <w:rPr>
          <w:sz w:val="22"/>
          <w:szCs w:val="22"/>
        </w:rPr>
      </w:pPr>
      <w:r w:rsidRPr="000071A9">
        <w:rPr>
          <w:sz w:val="22"/>
          <w:szCs w:val="22"/>
        </w:rPr>
        <w:t>D</w:t>
      </w:r>
      <w:r w:rsidR="001474BB" w:rsidRPr="000071A9">
        <w:rPr>
          <w:sz w:val="22"/>
          <w:szCs w:val="22"/>
        </w:rPr>
        <w:t>e considérer comme professionnel et commerçant toute personne qui tire un revenu arbitrairement considéré comme confortable.</w:t>
      </w:r>
      <w:r w:rsidRPr="000071A9">
        <w:rPr>
          <w:sz w:val="22"/>
          <w:szCs w:val="22"/>
        </w:rPr>
        <w:t xml:space="preserve"> </w:t>
      </w:r>
      <w:r w:rsidR="001474BB" w:rsidRPr="000071A9">
        <w:rPr>
          <w:sz w:val="22"/>
          <w:szCs w:val="22"/>
        </w:rPr>
        <w:t xml:space="preserve">Mais </w:t>
      </w:r>
      <w:r w:rsidR="001474BB" w:rsidRPr="000071A9">
        <w:rPr>
          <w:b/>
          <w:sz w:val="22"/>
          <w:szCs w:val="22"/>
        </w:rPr>
        <w:t>cette mesure ne prend en compte que le chiffre d'affaires et pas les charges</w:t>
      </w:r>
      <w:r w:rsidR="001474BB" w:rsidRPr="000071A9">
        <w:rPr>
          <w:sz w:val="22"/>
          <w:szCs w:val="22"/>
        </w:rPr>
        <w:t xml:space="preserve">. Or, particulièrement en milieu rural, s'agissant de biens souvent anciens, ceux-ci impliquent des investissements et des dépenses importants. Raisonner uniquement en termes de chiffre d'affaires révèle une incompréhension totale </w:t>
      </w:r>
      <w:r w:rsidR="00A273EA" w:rsidRPr="000071A9">
        <w:rPr>
          <w:sz w:val="22"/>
          <w:szCs w:val="22"/>
        </w:rPr>
        <w:t>de cette offre</w:t>
      </w:r>
      <w:r w:rsidR="001474BB" w:rsidRPr="000071A9">
        <w:rPr>
          <w:sz w:val="22"/>
          <w:szCs w:val="22"/>
        </w:rPr>
        <w:t xml:space="preserve"> touristique </w:t>
      </w:r>
      <w:r w:rsidRPr="000071A9">
        <w:rPr>
          <w:sz w:val="22"/>
          <w:szCs w:val="22"/>
        </w:rPr>
        <w:t xml:space="preserve">et d’une manière générale de l’activité économique </w:t>
      </w:r>
      <w:r w:rsidR="001474BB" w:rsidRPr="000071A9">
        <w:rPr>
          <w:sz w:val="22"/>
          <w:szCs w:val="22"/>
        </w:rPr>
        <w:t>en France.</w:t>
      </w:r>
    </w:p>
    <w:p w14:paraId="20C0DB11" w14:textId="69A0639C" w:rsidR="00C35298" w:rsidRPr="000071A9" w:rsidRDefault="001474BB" w:rsidP="00C35298">
      <w:pPr>
        <w:jc w:val="both"/>
        <w:rPr>
          <w:sz w:val="22"/>
          <w:szCs w:val="22"/>
        </w:rPr>
      </w:pPr>
      <w:r w:rsidRPr="000071A9">
        <w:rPr>
          <w:sz w:val="22"/>
          <w:szCs w:val="22"/>
        </w:rPr>
        <w:br/>
        <w:t>L'amendement au Sénat (cf. </w:t>
      </w:r>
      <w:hyperlink r:id="rId7" w:history="1">
        <w:r w:rsidRPr="000071A9">
          <w:rPr>
            <w:rStyle w:val="Lienhypertexte"/>
            <w:rFonts w:asciiTheme="minorHAnsi" w:hAnsiTheme="minorHAnsi"/>
            <w:szCs w:val="22"/>
          </w:rPr>
          <w:t>https://www.senat.fr/amendements/2016-2 ... dt_57.html</w:t>
        </w:r>
      </w:hyperlink>
      <w:r w:rsidR="00A273EA" w:rsidRPr="000071A9">
        <w:rPr>
          <w:sz w:val="22"/>
          <w:szCs w:val="22"/>
        </w:rPr>
        <w:t xml:space="preserve">) stipule </w:t>
      </w:r>
      <w:bookmarkStart w:id="0" w:name="OLE_LINK3"/>
      <w:bookmarkStart w:id="1" w:name="OLE_LINK4"/>
      <w:r w:rsidR="00A273EA" w:rsidRPr="000071A9">
        <w:rPr>
          <w:i/>
          <w:sz w:val="22"/>
          <w:szCs w:val="22"/>
        </w:rPr>
        <w:t>"</w:t>
      </w:r>
      <w:r w:rsidRPr="000071A9">
        <w:rPr>
          <w:i/>
          <w:sz w:val="22"/>
          <w:szCs w:val="22"/>
        </w:rPr>
        <w:t>I</w:t>
      </w:r>
      <w:bookmarkEnd w:id="0"/>
      <w:bookmarkEnd w:id="1"/>
      <w:r w:rsidRPr="000071A9">
        <w:rPr>
          <w:i/>
          <w:sz w:val="22"/>
          <w:szCs w:val="22"/>
        </w:rPr>
        <w:t>l ne semble pas illégitime qu'une personne, qui tire de l'exploitation de son patrimoine en location de courte durée, un revenu supérieur à un Smic net annuel puisse être considérée comme ayant des revenus d'activité professionnelle"</w:t>
      </w:r>
      <w:r w:rsidRPr="000071A9">
        <w:rPr>
          <w:sz w:val="22"/>
          <w:szCs w:val="22"/>
        </w:rPr>
        <w:t>.</w:t>
      </w:r>
    </w:p>
    <w:p w14:paraId="35FE7679" w14:textId="5ABBBB0E" w:rsidR="00C35298" w:rsidRPr="000071A9" w:rsidRDefault="001474BB" w:rsidP="00C35298">
      <w:pPr>
        <w:jc w:val="both"/>
        <w:rPr>
          <w:sz w:val="22"/>
          <w:szCs w:val="22"/>
        </w:rPr>
      </w:pPr>
      <w:r w:rsidRPr="000071A9">
        <w:rPr>
          <w:sz w:val="22"/>
          <w:szCs w:val="22"/>
        </w:rPr>
        <w:br/>
        <w:t>Le législateur ne semble pas comprendre que les re</w:t>
      </w:r>
      <w:r w:rsidR="00130E81" w:rsidRPr="000071A9">
        <w:rPr>
          <w:sz w:val="22"/>
          <w:szCs w:val="22"/>
        </w:rPr>
        <w:t>cettes</w:t>
      </w:r>
      <w:r w:rsidRPr="000071A9">
        <w:rPr>
          <w:sz w:val="22"/>
          <w:szCs w:val="22"/>
        </w:rPr>
        <w:t xml:space="preserve"> </w:t>
      </w:r>
      <w:r w:rsidR="00A273EA" w:rsidRPr="000071A9">
        <w:rPr>
          <w:sz w:val="22"/>
          <w:szCs w:val="22"/>
        </w:rPr>
        <w:t>des</w:t>
      </w:r>
      <w:r w:rsidRPr="000071A9">
        <w:rPr>
          <w:sz w:val="22"/>
          <w:szCs w:val="22"/>
        </w:rPr>
        <w:t xml:space="preserve"> locations de meublés </w:t>
      </w:r>
      <w:r w:rsidR="00236488" w:rsidRPr="000071A9">
        <w:rPr>
          <w:sz w:val="22"/>
          <w:szCs w:val="22"/>
        </w:rPr>
        <w:t xml:space="preserve">de tourisme </w:t>
      </w:r>
      <w:r w:rsidRPr="000071A9">
        <w:rPr>
          <w:sz w:val="22"/>
          <w:szCs w:val="22"/>
        </w:rPr>
        <w:t>doivent, en premier lieu, couvrir un certain nombre de frais fixes (intérêts d'emprunts, taxes foncières et d'habitation, redevance audiovisuelle, assurances et contrats de maintenance, publicité et communication ...), ainsi qu'un certain nombre de travaux de réfection et d'entretien</w:t>
      </w:r>
      <w:r w:rsidR="008D2010" w:rsidRPr="000071A9">
        <w:rPr>
          <w:sz w:val="22"/>
          <w:szCs w:val="22"/>
        </w:rPr>
        <w:t xml:space="preserve"> et d’amélioration pour satisfaire aux légitimes exigences de qualité de la clientèle touristique</w:t>
      </w:r>
      <w:r w:rsidRPr="000071A9">
        <w:rPr>
          <w:sz w:val="22"/>
          <w:szCs w:val="22"/>
        </w:rPr>
        <w:t>.</w:t>
      </w:r>
    </w:p>
    <w:p w14:paraId="4AF9170D" w14:textId="6F03E19F" w:rsidR="008D2010" w:rsidRPr="000071A9" w:rsidRDefault="001474BB" w:rsidP="00C35298">
      <w:pPr>
        <w:jc w:val="both"/>
        <w:rPr>
          <w:b/>
          <w:sz w:val="22"/>
          <w:szCs w:val="22"/>
        </w:rPr>
      </w:pPr>
      <w:r w:rsidRPr="000071A9">
        <w:rPr>
          <w:sz w:val="22"/>
          <w:szCs w:val="22"/>
        </w:rPr>
        <w:br/>
      </w:r>
      <w:r w:rsidRPr="000071A9">
        <w:rPr>
          <w:b/>
          <w:sz w:val="22"/>
          <w:szCs w:val="22"/>
        </w:rPr>
        <w:t xml:space="preserve">Faut-il expliquer au législateur </w:t>
      </w:r>
      <w:proofErr w:type="gramStart"/>
      <w:r w:rsidRPr="000071A9">
        <w:rPr>
          <w:b/>
          <w:sz w:val="22"/>
          <w:szCs w:val="22"/>
        </w:rPr>
        <w:t>ce</w:t>
      </w:r>
      <w:proofErr w:type="gramEnd"/>
      <w:r w:rsidRPr="000071A9">
        <w:rPr>
          <w:b/>
          <w:sz w:val="22"/>
          <w:szCs w:val="22"/>
        </w:rPr>
        <w:t xml:space="preserve"> qu'est un compte d'exploitation et qu'après déduction des frais fixes puis des charges variables (électricité, gaz, eau...), le bénéfice (ou revenu) net est bien inférieur au </w:t>
      </w:r>
      <w:r w:rsidRPr="000071A9">
        <w:rPr>
          <w:b/>
          <w:i/>
          <w:sz w:val="22"/>
          <w:szCs w:val="22"/>
        </w:rPr>
        <w:t>"revenu supérieur à un Smic net"</w:t>
      </w:r>
      <w:r w:rsidRPr="000071A9">
        <w:rPr>
          <w:b/>
          <w:sz w:val="22"/>
          <w:szCs w:val="22"/>
        </w:rPr>
        <w:t xml:space="preserve"> ?</w:t>
      </w:r>
    </w:p>
    <w:p w14:paraId="02F3934A" w14:textId="5566418B" w:rsidR="00130E81" w:rsidRPr="000071A9" w:rsidRDefault="00130E81" w:rsidP="00C35298">
      <w:pPr>
        <w:jc w:val="both"/>
        <w:rPr>
          <w:sz w:val="22"/>
          <w:szCs w:val="22"/>
        </w:rPr>
      </w:pPr>
    </w:p>
    <w:p w14:paraId="1049DA9D" w14:textId="6F0E1764" w:rsidR="008D2010" w:rsidRPr="000071A9" w:rsidRDefault="001474BB" w:rsidP="00C35298">
      <w:pPr>
        <w:jc w:val="both"/>
        <w:rPr>
          <w:sz w:val="22"/>
          <w:szCs w:val="22"/>
        </w:rPr>
      </w:pPr>
      <w:r w:rsidRPr="000071A9">
        <w:rPr>
          <w:sz w:val="22"/>
          <w:szCs w:val="22"/>
        </w:rPr>
        <w:t xml:space="preserve">Il faudra aussi que le législateur prenne en compte qu'en milieu rural, une forte majorité des propriétaires de gîtes </w:t>
      </w:r>
      <w:r w:rsidR="002F07E3" w:rsidRPr="000071A9">
        <w:rPr>
          <w:sz w:val="22"/>
          <w:szCs w:val="22"/>
        </w:rPr>
        <w:t>(</w:t>
      </w:r>
      <w:r w:rsidR="00236488" w:rsidRPr="000071A9">
        <w:rPr>
          <w:sz w:val="22"/>
          <w:szCs w:val="22"/>
        </w:rPr>
        <w:t xml:space="preserve">nom </w:t>
      </w:r>
      <w:r w:rsidR="002F07E3" w:rsidRPr="000071A9">
        <w:rPr>
          <w:sz w:val="22"/>
          <w:szCs w:val="22"/>
        </w:rPr>
        <w:t>donné</w:t>
      </w:r>
      <w:r w:rsidR="00236488" w:rsidRPr="000071A9">
        <w:rPr>
          <w:sz w:val="22"/>
          <w:szCs w:val="22"/>
        </w:rPr>
        <w:t xml:space="preserve"> aux meublés de tourisme à la campagne) </w:t>
      </w:r>
      <w:r w:rsidRPr="000071A9">
        <w:rPr>
          <w:sz w:val="22"/>
          <w:szCs w:val="22"/>
        </w:rPr>
        <w:t>sont des retraités qui trouvent dans cette activité un moyen de compléter leur pension. Est-il juste de pénaliser cette population</w:t>
      </w:r>
      <w:r w:rsidR="00A273EA" w:rsidRPr="000071A9">
        <w:rPr>
          <w:sz w:val="22"/>
          <w:szCs w:val="22"/>
        </w:rPr>
        <w:t xml:space="preserve"> </w:t>
      </w:r>
      <w:r w:rsidRPr="000071A9">
        <w:rPr>
          <w:sz w:val="22"/>
          <w:szCs w:val="22"/>
        </w:rPr>
        <w:t>?</w:t>
      </w:r>
    </w:p>
    <w:p w14:paraId="3EA7E39A" w14:textId="77777777" w:rsidR="00812702" w:rsidRPr="000071A9" w:rsidRDefault="00812702" w:rsidP="00C35298">
      <w:pPr>
        <w:jc w:val="both"/>
        <w:rPr>
          <w:sz w:val="22"/>
          <w:szCs w:val="22"/>
        </w:rPr>
      </w:pPr>
    </w:p>
    <w:p w14:paraId="57901733" w14:textId="735C94F7" w:rsidR="00812702" w:rsidRPr="000071A9" w:rsidRDefault="00812702" w:rsidP="00C35298">
      <w:pPr>
        <w:jc w:val="both"/>
        <w:rPr>
          <w:sz w:val="22"/>
          <w:szCs w:val="22"/>
        </w:rPr>
      </w:pPr>
      <w:bookmarkStart w:id="2" w:name="OLE_LINK5"/>
      <w:bookmarkStart w:id="3" w:name="OLE_LINK6"/>
      <w:r w:rsidRPr="000071A9">
        <w:rPr>
          <w:sz w:val="22"/>
          <w:szCs w:val="22"/>
        </w:rPr>
        <w:t>Nous pouvons lire également dans le compte rendu du 16 novembre</w:t>
      </w:r>
      <w:r w:rsidR="000B6F59">
        <w:rPr>
          <w:sz w:val="22"/>
          <w:szCs w:val="22"/>
        </w:rPr>
        <w:t xml:space="preserve"> (cf. </w:t>
      </w:r>
      <w:bookmarkStart w:id="4" w:name="_GoBack"/>
      <w:bookmarkEnd w:id="4"/>
      <w:r w:rsidR="00314E76">
        <w:fldChar w:fldCharType="begin"/>
      </w:r>
      <w:r w:rsidR="00314E76">
        <w:instrText xml:space="preserve"> HYPERLINK "http://www.senat.fr/seances/s201611/s20161116/s20161116_mono.html" </w:instrText>
      </w:r>
      <w:r w:rsidR="00314E76">
        <w:fldChar w:fldCharType="separate"/>
      </w:r>
      <w:r w:rsidR="000B6F59" w:rsidRPr="001D0DC8">
        <w:rPr>
          <w:rStyle w:val="Lienhypertexte"/>
          <w:rFonts w:asciiTheme="minorHAnsi" w:hAnsiTheme="minorHAnsi"/>
          <w:szCs w:val="22"/>
        </w:rPr>
        <w:t>http://www.senat.fr/seances/s201611/s20161116/s20161116_mono.html</w:t>
      </w:r>
      <w:r w:rsidR="00314E76">
        <w:rPr>
          <w:rStyle w:val="Lienhypertexte"/>
          <w:rFonts w:asciiTheme="minorHAnsi" w:hAnsiTheme="minorHAnsi"/>
          <w:szCs w:val="22"/>
        </w:rPr>
        <w:fldChar w:fldCharType="end"/>
      </w:r>
      <w:r w:rsidR="000B6F59">
        <w:rPr>
          <w:sz w:val="22"/>
          <w:szCs w:val="22"/>
        </w:rPr>
        <w:t xml:space="preserve">) </w:t>
      </w:r>
      <w:r w:rsidRPr="000071A9">
        <w:rPr>
          <w:sz w:val="22"/>
          <w:szCs w:val="22"/>
        </w:rPr>
        <w:t xml:space="preserve"> : </w:t>
      </w:r>
      <w:r w:rsidRPr="000071A9">
        <w:rPr>
          <w:i/>
          <w:sz w:val="22"/>
          <w:szCs w:val="22"/>
        </w:rPr>
        <w:t>"Vous me parlez des gîtes ruraux, pour lesquels rien ne change ! Je ne comprends même pas pourquoi ce sujet est abordé. Ils ont le statut de meublé, et sont soumis à un seuil, qui, d'ailleurs, est le même, au-delà duquel ils sont considérés comme des professionnels. Il n'y a pas de débat. Ce qu'ils craignent, car nous les avons bien sûr rencontrés, c'est justement que le seuil de 23 000 euros soit abaissé, car leur situation serait alors désavantageuse par rapport à celle qui résulte de la proposition issue des travaux de l'Assemblée nationale. "</w:t>
      </w:r>
    </w:p>
    <w:p w14:paraId="0AA452E3" w14:textId="08D3E598" w:rsidR="002F07E3" w:rsidRDefault="00CA0EA1" w:rsidP="00C35298">
      <w:pPr>
        <w:jc w:val="both"/>
        <w:rPr>
          <w:b/>
          <w:sz w:val="22"/>
          <w:szCs w:val="22"/>
        </w:rPr>
      </w:pPr>
      <w:bookmarkStart w:id="5" w:name="OLE_LINK9"/>
      <w:bookmarkStart w:id="6" w:name="OLE_LINK10"/>
      <w:r w:rsidRPr="000071A9">
        <w:rPr>
          <w:b/>
          <w:sz w:val="22"/>
          <w:szCs w:val="22"/>
        </w:rPr>
        <w:lastRenderedPageBreak/>
        <w:t>F</w:t>
      </w:r>
      <w:r w:rsidR="00812702" w:rsidRPr="000071A9">
        <w:rPr>
          <w:b/>
          <w:sz w:val="22"/>
          <w:szCs w:val="22"/>
        </w:rPr>
        <w:t xml:space="preserve">aut-il expliquer </w:t>
      </w:r>
      <w:r w:rsidRPr="000071A9">
        <w:rPr>
          <w:b/>
          <w:sz w:val="22"/>
          <w:szCs w:val="22"/>
        </w:rPr>
        <w:t>au secrétaire d’</w:t>
      </w:r>
      <w:r w:rsidR="00576E18" w:rsidRPr="000071A9">
        <w:rPr>
          <w:b/>
          <w:sz w:val="22"/>
          <w:szCs w:val="22"/>
        </w:rPr>
        <w:t>Etat</w:t>
      </w:r>
      <w:r w:rsidR="000071A9" w:rsidRPr="000071A9">
        <w:rPr>
          <w:b/>
          <w:sz w:val="22"/>
          <w:szCs w:val="22"/>
        </w:rPr>
        <w:t xml:space="preserve">, </w:t>
      </w:r>
      <w:proofErr w:type="spellStart"/>
      <w:proofErr w:type="gramStart"/>
      <w:r w:rsidR="000071A9" w:rsidRPr="000071A9">
        <w:rPr>
          <w:b/>
          <w:sz w:val="22"/>
          <w:szCs w:val="22"/>
        </w:rPr>
        <w:t>M.Eckert</w:t>
      </w:r>
      <w:proofErr w:type="spellEnd"/>
      <w:proofErr w:type="gramEnd"/>
      <w:r w:rsidR="000071A9" w:rsidRPr="000071A9">
        <w:rPr>
          <w:b/>
          <w:sz w:val="22"/>
          <w:szCs w:val="22"/>
        </w:rPr>
        <w:t>,</w:t>
      </w:r>
      <w:r w:rsidR="00576E18" w:rsidRPr="000071A9">
        <w:rPr>
          <w:b/>
          <w:sz w:val="22"/>
          <w:szCs w:val="22"/>
        </w:rPr>
        <w:t xml:space="preserve"> qu’à ce jour</w:t>
      </w:r>
      <w:r w:rsidRPr="000071A9">
        <w:rPr>
          <w:b/>
          <w:sz w:val="22"/>
          <w:szCs w:val="22"/>
        </w:rPr>
        <w:t xml:space="preserve"> le seuil </w:t>
      </w:r>
      <w:r w:rsidR="004F398F" w:rsidRPr="000071A9">
        <w:rPr>
          <w:b/>
          <w:sz w:val="22"/>
          <w:szCs w:val="22"/>
        </w:rPr>
        <w:t>de 23 000€ n’est pas la seule condition</w:t>
      </w:r>
      <w:r w:rsidR="00576E18" w:rsidRPr="000071A9">
        <w:rPr>
          <w:b/>
          <w:sz w:val="22"/>
          <w:szCs w:val="22"/>
        </w:rPr>
        <w:t xml:space="preserve"> obligeant les loueurs de meublés à </w:t>
      </w:r>
      <w:r w:rsidR="000071A9" w:rsidRPr="000071A9">
        <w:rPr>
          <w:b/>
          <w:sz w:val="22"/>
          <w:szCs w:val="22"/>
        </w:rPr>
        <w:t>passer en loueurs de meublés</w:t>
      </w:r>
      <w:r w:rsidR="00576E18" w:rsidRPr="000071A9">
        <w:rPr>
          <w:b/>
          <w:sz w:val="22"/>
          <w:szCs w:val="22"/>
        </w:rPr>
        <w:t xml:space="preserve"> professionnels. Faut-il lui indiquer </w:t>
      </w:r>
      <w:r w:rsidR="000071A9" w:rsidRPr="000071A9">
        <w:rPr>
          <w:b/>
          <w:sz w:val="22"/>
          <w:szCs w:val="22"/>
        </w:rPr>
        <w:t>qu’à ce jour il est nécessaire de cumuler 3 conditions</w:t>
      </w:r>
      <w:r w:rsidR="00576E18" w:rsidRPr="000071A9">
        <w:rPr>
          <w:b/>
          <w:sz w:val="22"/>
          <w:szCs w:val="22"/>
        </w:rPr>
        <w:t xml:space="preserve"> </w:t>
      </w:r>
      <w:r w:rsidR="000071A9" w:rsidRPr="000071A9">
        <w:rPr>
          <w:b/>
          <w:sz w:val="22"/>
          <w:szCs w:val="22"/>
        </w:rPr>
        <w:t xml:space="preserve">(dépasser le seuil de 23 000€ + dépasser les autres revenus d’activité du foyer fiscal + être inscrit au RCS) </w:t>
      </w:r>
      <w:r w:rsidR="00576E18" w:rsidRPr="000071A9">
        <w:rPr>
          <w:b/>
          <w:sz w:val="22"/>
          <w:szCs w:val="22"/>
        </w:rPr>
        <w:t>et que la situation n’est donc plus du tout la même</w:t>
      </w:r>
      <w:r w:rsidR="000071A9" w:rsidRPr="000071A9">
        <w:rPr>
          <w:b/>
          <w:sz w:val="22"/>
          <w:szCs w:val="22"/>
        </w:rPr>
        <w:t>.</w:t>
      </w:r>
      <w:r w:rsidR="00F21497">
        <w:rPr>
          <w:b/>
          <w:sz w:val="22"/>
          <w:szCs w:val="22"/>
        </w:rPr>
        <w:t xml:space="preserve"> </w:t>
      </w:r>
    </w:p>
    <w:p w14:paraId="53D590AC" w14:textId="2B6EBE39" w:rsidR="00F21497" w:rsidRPr="00F21497" w:rsidRDefault="00314E76" w:rsidP="00C35298">
      <w:pPr>
        <w:jc w:val="both"/>
        <w:rPr>
          <w:sz w:val="22"/>
          <w:szCs w:val="22"/>
        </w:rPr>
      </w:pPr>
      <w:hyperlink r:id="rId8" w:history="1">
        <w:r w:rsidR="00F21497" w:rsidRPr="001D0DC8">
          <w:rPr>
            <w:rStyle w:val="Lienhypertexte"/>
            <w:rFonts w:asciiTheme="minorHAnsi" w:hAnsiTheme="minorHAnsi"/>
            <w:szCs w:val="22"/>
          </w:rPr>
          <w:t>https://www.service-public.fr/professionnels-entreprises/vosdroits/F32805</w:t>
        </w:r>
      </w:hyperlink>
      <w:bookmarkEnd w:id="5"/>
      <w:bookmarkEnd w:id="6"/>
      <w:r w:rsidR="00F21497">
        <w:rPr>
          <w:sz w:val="22"/>
          <w:szCs w:val="22"/>
        </w:rPr>
        <w:t xml:space="preserve"> </w:t>
      </w:r>
    </w:p>
    <w:bookmarkEnd w:id="2"/>
    <w:bookmarkEnd w:id="3"/>
    <w:p w14:paraId="6796AC2F" w14:textId="77777777" w:rsidR="000071A9" w:rsidRPr="000071A9" w:rsidRDefault="000071A9" w:rsidP="00C35298">
      <w:pPr>
        <w:jc w:val="both"/>
        <w:rPr>
          <w:sz w:val="22"/>
          <w:szCs w:val="22"/>
        </w:rPr>
      </w:pPr>
    </w:p>
    <w:p w14:paraId="7D1E29EB" w14:textId="5D0C962B" w:rsidR="008D2010" w:rsidRPr="000071A9" w:rsidRDefault="001474BB" w:rsidP="00C35298">
      <w:pPr>
        <w:jc w:val="both"/>
        <w:rPr>
          <w:sz w:val="22"/>
          <w:szCs w:val="22"/>
        </w:rPr>
      </w:pPr>
      <w:r w:rsidRPr="000071A9">
        <w:rPr>
          <w:sz w:val="22"/>
          <w:szCs w:val="22"/>
        </w:rPr>
        <w:t>L'article 10 de la loi stipule de manière très naïve :</w:t>
      </w:r>
    </w:p>
    <w:p w14:paraId="77E7162B" w14:textId="093B0832" w:rsidR="008D2010" w:rsidRPr="000071A9" w:rsidRDefault="001474BB" w:rsidP="002F07E3">
      <w:pPr>
        <w:jc w:val="both"/>
        <w:rPr>
          <w:rStyle w:val="Lienhypertexte"/>
          <w:rFonts w:asciiTheme="minorHAnsi" w:hAnsiTheme="minorHAnsi"/>
          <w:szCs w:val="22"/>
        </w:rPr>
      </w:pPr>
      <w:r w:rsidRPr="000071A9">
        <w:rPr>
          <w:i/>
          <w:sz w:val="22"/>
          <w:szCs w:val="22"/>
        </w:rPr>
        <w:t>"Ainsi, la possibilité sera offerte pour les plateformes d’assurer pour le compte des utilisateurs, à leur demande, les démarches d’affiliation, de déclaration sociale et de paiement des cotisations et contributions sociales."</w:t>
      </w:r>
      <w:r w:rsidRPr="000071A9">
        <w:rPr>
          <w:sz w:val="22"/>
          <w:szCs w:val="22"/>
        </w:rPr>
        <w:t xml:space="preserve"> - </w:t>
      </w:r>
      <w:hyperlink r:id="rId9" w:history="1">
        <w:r w:rsidRPr="000071A9">
          <w:rPr>
            <w:rStyle w:val="Lienhypertexte"/>
            <w:rFonts w:asciiTheme="minorHAnsi" w:hAnsiTheme="minorHAnsi"/>
            <w:szCs w:val="22"/>
          </w:rPr>
          <w:t>http://www.assemblee-nationale.fr/14/projets/pl4072.asp</w:t>
        </w:r>
      </w:hyperlink>
    </w:p>
    <w:p w14:paraId="3F35E0E7" w14:textId="77777777" w:rsidR="008D2010" w:rsidRPr="000071A9" w:rsidRDefault="001474BB" w:rsidP="00C35298">
      <w:pPr>
        <w:jc w:val="both"/>
        <w:rPr>
          <w:sz w:val="22"/>
          <w:szCs w:val="22"/>
        </w:rPr>
      </w:pPr>
      <w:r w:rsidRPr="000071A9">
        <w:rPr>
          <w:sz w:val="22"/>
          <w:szCs w:val="22"/>
        </w:rPr>
        <w:br/>
        <w:t xml:space="preserve">La Loi ne doit ni envisager de </w:t>
      </w:r>
      <w:r w:rsidRPr="000071A9">
        <w:rPr>
          <w:i/>
          <w:sz w:val="22"/>
          <w:szCs w:val="22"/>
        </w:rPr>
        <w:t>"possibilité"</w:t>
      </w:r>
      <w:r w:rsidRPr="000071A9">
        <w:rPr>
          <w:sz w:val="22"/>
          <w:szCs w:val="22"/>
        </w:rPr>
        <w:t xml:space="preserve"> ni </w:t>
      </w:r>
      <w:r w:rsidRPr="000071A9">
        <w:rPr>
          <w:i/>
          <w:sz w:val="22"/>
          <w:szCs w:val="22"/>
        </w:rPr>
        <w:t>"à leur demande"</w:t>
      </w:r>
      <w:r w:rsidRPr="000071A9">
        <w:rPr>
          <w:sz w:val="22"/>
          <w:szCs w:val="22"/>
        </w:rPr>
        <w:t>, mais imposer une obligation aux plateformes de transmettre aux services fiscaux, pour le compte du propriétaire du bien meublé, le montant annuel de son chiffre d'affaires. </w:t>
      </w:r>
    </w:p>
    <w:p w14:paraId="0E5D438D" w14:textId="77777777" w:rsidR="008D2010" w:rsidRPr="000071A9" w:rsidRDefault="001474BB" w:rsidP="00C35298">
      <w:pPr>
        <w:jc w:val="both"/>
        <w:rPr>
          <w:sz w:val="22"/>
          <w:szCs w:val="22"/>
        </w:rPr>
      </w:pPr>
      <w:r w:rsidRPr="000071A9">
        <w:rPr>
          <w:sz w:val="22"/>
          <w:szCs w:val="22"/>
        </w:rPr>
        <w:br/>
        <w:t>Cette contrainte, parfaitement réalisable techniquement, s'inscrit dans une tendance de fond de mise à disposition des services fiscaux des informations déclaratives (revenus financiers transmis par les banques, Déclarations Annuelles des Salaires transmises par les entreprises/collectivités et bientôt toute information nécessaire à la mise en place de la retenue à la source).</w:t>
      </w:r>
    </w:p>
    <w:p w14:paraId="18895B7F" w14:textId="77777777" w:rsidR="008D2010" w:rsidRPr="000071A9" w:rsidRDefault="001474BB" w:rsidP="00C35298">
      <w:pPr>
        <w:jc w:val="both"/>
        <w:rPr>
          <w:rStyle w:val="Lienhypertexte"/>
          <w:rFonts w:asciiTheme="minorHAnsi" w:hAnsiTheme="minorHAnsi"/>
          <w:szCs w:val="22"/>
        </w:rPr>
      </w:pPr>
      <w:r w:rsidRPr="000071A9">
        <w:rPr>
          <w:sz w:val="22"/>
          <w:szCs w:val="22"/>
        </w:rPr>
        <w:br/>
        <w:t>La tendance de fond et le sens de l'histoire concernent aussi l'attitude des autorités locales, de plus en plus ferme, vis-à-vis de ce types de plateformes : obligation de collecter la taxe de séjour, encadrement strict dans de grandes villes touristiques dans le monde (Berlin, Barcelone, New York...) </w:t>
      </w:r>
      <w:hyperlink r:id="rId10" w:history="1">
        <w:r w:rsidRPr="000071A9">
          <w:rPr>
            <w:rStyle w:val="Lienhypertexte"/>
            <w:rFonts w:asciiTheme="minorHAnsi" w:hAnsiTheme="minorHAnsi"/>
            <w:szCs w:val="22"/>
          </w:rPr>
          <w:t>http://www.lemonde.fr/economie/article/ ... _3234.html</w:t>
        </w:r>
      </w:hyperlink>
    </w:p>
    <w:p w14:paraId="5514A3D8" w14:textId="77777777" w:rsidR="008D2010" w:rsidRPr="000071A9" w:rsidRDefault="001474BB" w:rsidP="00C35298">
      <w:pPr>
        <w:jc w:val="both"/>
        <w:rPr>
          <w:sz w:val="22"/>
          <w:szCs w:val="22"/>
        </w:rPr>
      </w:pPr>
      <w:r w:rsidRPr="000071A9">
        <w:rPr>
          <w:sz w:val="22"/>
          <w:szCs w:val="22"/>
        </w:rPr>
        <w:br/>
        <w:t xml:space="preserve">Les propriétaires de meublés </w:t>
      </w:r>
      <w:r w:rsidR="008D2010" w:rsidRPr="000071A9">
        <w:rPr>
          <w:sz w:val="22"/>
          <w:szCs w:val="22"/>
        </w:rPr>
        <w:t xml:space="preserve">de tourisme </w:t>
      </w:r>
      <w:r w:rsidRPr="000071A9">
        <w:rPr>
          <w:sz w:val="22"/>
          <w:szCs w:val="22"/>
        </w:rPr>
        <w:t xml:space="preserve">ne sont </w:t>
      </w:r>
      <w:r w:rsidR="008D2010" w:rsidRPr="000071A9">
        <w:rPr>
          <w:sz w:val="22"/>
          <w:szCs w:val="22"/>
        </w:rPr>
        <w:t xml:space="preserve">malheureusement </w:t>
      </w:r>
      <w:r w:rsidRPr="000071A9">
        <w:rPr>
          <w:sz w:val="22"/>
          <w:szCs w:val="22"/>
        </w:rPr>
        <w:t>pas fédérés, aucune voix ne porte leurs intérêts, leur découragement silencieux ne sera pas ressenti ni au plan économique ni dans l'opinion.</w:t>
      </w:r>
    </w:p>
    <w:p w14:paraId="48302324" w14:textId="4472064B" w:rsidR="00BF33F5" w:rsidRPr="000071A9" w:rsidRDefault="001474BB" w:rsidP="00C35298">
      <w:pPr>
        <w:jc w:val="both"/>
        <w:rPr>
          <w:sz w:val="22"/>
          <w:szCs w:val="22"/>
        </w:rPr>
      </w:pPr>
      <w:r w:rsidRPr="000071A9">
        <w:rPr>
          <w:sz w:val="22"/>
          <w:szCs w:val="22"/>
        </w:rPr>
        <w:br/>
        <w:t>Mais soyez bien conscient</w:t>
      </w:r>
      <w:r w:rsidR="003A4A90">
        <w:rPr>
          <w:sz w:val="22"/>
          <w:szCs w:val="22"/>
        </w:rPr>
        <w:t>s</w:t>
      </w:r>
      <w:r w:rsidRPr="000071A9">
        <w:rPr>
          <w:sz w:val="22"/>
          <w:szCs w:val="22"/>
        </w:rPr>
        <w:t xml:space="preserve"> qu'une mesure et un effet de seuil aussi radicaux vont avoir des conséquences, à long terme sur l'activité du tourisme et sur la p</w:t>
      </w:r>
      <w:r w:rsidR="00BA64A4" w:rsidRPr="000071A9">
        <w:rPr>
          <w:sz w:val="22"/>
          <w:szCs w:val="22"/>
        </w:rPr>
        <w:t>réservation du patrimoine rural :</w:t>
      </w:r>
    </w:p>
    <w:p w14:paraId="79C0E80D" w14:textId="77777777" w:rsidR="00BF33F5" w:rsidRPr="000071A9" w:rsidRDefault="00BF33F5" w:rsidP="001474BB">
      <w:pPr>
        <w:rPr>
          <w:sz w:val="22"/>
          <w:szCs w:val="22"/>
        </w:rPr>
      </w:pPr>
    </w:p>
    <w:p w14:paraId="789341F7" w14:textId="18CA30EE" w:rsidR="00BF33F5" w:rsidRPr="000071A9" w:rsidRDefault="008D2010" w:rsidP="00BF33F5">
      <w:pPr>
        <w:pStyle w:val="Pardeliste"/>
        <w:numPr>
          <w:ilvl w:val="0"/>
          <w:numId w:val="1"/>
        </w:numPr>
        <w:rPr>
          <w:sz w:val="22"/>
          <w:szCs w:val="22"/>
        </w:rPr>
      </w:pPr>
      <w:r w:rsidRPr="000071A9">
        <w:rPr>
          <w:sz w:val="22"/>
          <w:szCs w:val="22"/>
        </w:rPr>
        <w:t>U</w:t>
      </w:r>
      <w:r w:rsidR="001474BB" w:rsidRPr="000071A9">
        <w:rPr>
          <w:sz w:val="22"/>
          <w:szCs w:val="22"/>
        </w:rPr>
        <w:t>n certain nombre de propriétaires vont réduire leur activité pour ne pas atteindre ce seuil</w:t>
      </w:r>
      <w:r w:rsidR="00BA64A4" w:rsidRPr="000071A9">
        <w:rPr>
          <w:sz w:val="22"/>
          <w:szCs w:val="22"/>
        </w:rPr>
        <w:t>,</w:t>
      </w:r>
    </w:p>
    <w:p w14:paraId="44569BB0" w14:textId="388921CA" w:rsidR="00BF33F5" w:rsidRPr="000071A9" w:rsidRDefault="008D2010" w:rsidP="00BF33F5">
      <w:pPr>
        <w:pStyle w:val="Pardeliste"/>
        <w:numPr>
          <w:ilvl w:val="0"/>
          <w:numId w:val="1"/>
        </w:numPr>
        <w:rPr>
          <w:sz w:val="22"/>
          <w:szCs w:val="22"/>
        </w:rPr>
      </w:pPr>
      <w:r w:rsidRPr="000071A9">
        <w:rPr>
          <w:sz w:val="22"/>
          <w:szCs w:val="22"/>
        </w:rPr>
        <w:t>L</w:t>
      </w:r>
      <w:r w:rsidR="00BF33F5" w:rsidRPr="000071A9">
        <w:rPr>
          <w:sz w:val="22"/>
          <w:szCs w:val="22"/>
        </w:rPr>
        <w:t>a</w:t>
      </w:r>
      <w:r w:rsidR="001474BB" w:rsidRPr="000071A9">
        <w:rPr>
          <w:sz w:val="22"/>
          <w:szCs w:val="22"/>
        </w:rPr>
        <w:t xml:space="preserve"> qualité des prestations risque de s'en ressentir (on investit moins pour un bien moins rentable)</w:t>
      </w:r>
      <w:r w:rsidR="00BA64A4" w:rsidRPr="000071A9">
        <w:rPr>
          <w:sz w:val="22"/>
          <w:szCs w:val="22"/>
        </w:rPr>
        <w:t>,</w:t>
      </w:r>
    </w:p>
    <w:p w14:paraId="499F8BA0" w14:textId="1CA17394" w:rsidR="00BF33F5" w:rsidRPr="000071A9" w:rsidRDefault="008D2010" w:rsidP="00BF33F5">
      <w:pPr>
        <w:pStyle w:val="Pardeliste"/>
        <w:numPr>
          <w:ilvl w:val="0"/>
          <w:numId w:val="1"/>
        </w:numPr>
        <w:rPr>
          <w:sz w:val="22"/>
          <w:szCs w:val="22"/>
        </w:rPr>
      </w:pPr>
      <w:r w:rsidRPr="000071A9">
        <w:rPr>
          <w:sz w:val="22"/>
          <w:szCs w:val="22"/>
        </w:rPr>
        <w:t>D</w:t>
      </w:r>
      <w:r w:rsidR="001474BB" w:rsidRPr="000071A9">
        <w:rPr>
          <w:sz w:val="22"/>
          <w:szCs w:val="22"/>
        </w:rPr>
        <w:t>es projets de réhabilitation de maisons anciennes ne vont plus se faire pour cause de faible rentabilité</w:t>
      </w:r>
      <w:r w:rsidR="00BA64A4" w:rsidRPr="000071A9">
        <w:rPr>
          <w:sz w:val="22"/>
          <w:szCs w:val="22"/>
        </w:rPr>
        <w:t>,</w:t>
      </w:r>
    </w:p>
    <w:p w14:paraId="08BC470E" w14:textId="1D0EACFE" w:rsidR="00BF33F5" w:rsidRPr="000071A9" w:rsidRDefault="008D2010" w:rsidP="00BF33F5">
      <w:pPr>
        <w:pStyle w:val="Pardeliste"/>
        <w:numPr>
          <w:ilvl w:val="0"/>
          <w:numId w:val="1"/>
        </w:numPr>
        <w:rPr>
          <w:sz w:val="22"/>
          <w:szCs w:val="22"/>
        </w:rPr>
      </w:pPr>
      <w:r w:rsidRPr="000071A9">
        <w:rPr>
          <w:sz w:val="22"/>
          <w:szCs w:val="22"/>
        </w:rPr>
        <w:t>P</w:t>
      </w:r>
      <w:r w:rsidR="001474BB" w:rsidRPr="000071A9">
        <w:rPr>
          <w:sz w:val="22"/>
          <w:szCs w:val="22"/>
        </w:rPr>
        <w:t>lus globalement l'offre d'"accueil chez l'habitant" (gîte ou chambre d'hôtes), un des atouts de la réputation de la France à l'étranger, va être impacté, et par voie de conséquence le secteur du tourisme.</w:t>
      </w:r>
    </w:p>
    <w:p w14:paraId="39FE93F7" w14:textId="77777777" w:rsidR="00BF33F5" w:rsidRPr="000071A9" w:rsidRDefault="00BF33F5" w:rsidP="00BF33F5">
      <w:pPr>
        <w:pStyle w:val="Pardeliste"/>
        <w:rPr>
          <w:sz w:val="22"/>
          <w:szCs w:val="22"/>
        </w:rPr>
      </w:pPr>
    </w:p>
    <w:p w14:paraId="75ACC402" w14:textId="77777777" w:rsidR="008D2010" w:rsidRPr="000071A9" w:rsidRDefault="001474BB" w:rsidP="008D2010">
      <w:pPr>
        <w:jc w:val="both"/>
        <w:rPr>
          <w:sz w:val="22"/>
          <w:szCs w:val="22"/>
        </w:rPr>
      </w:pPr>
      <w:r w:rsidRPr="000071A9">
        <w:rPr>
          <w:sz w:val="22"/>
          <w:szCs w:val="22"/>
        </w:rPr>
        <w:t>Conscient de votre implication tant au niveau local que régional, et de l'intérêt que vous portez à la préservation du patrimoine et à l'attractivité des territoires, pouvez-vous interpeller le législateur sur cet enjeu ?</w:t>
      </w:r>
    </w:p>
    <w:p w14:paraId="010FA29D" w14:textId="50FF3487" w:rsidR="001C3E91" w:rsidRPr="000071A9" w:rsidRDefault="001C3E91" w:rsidP="008D2010">
      <w:pPr>
        <w:jc w:val="both"/>
        <w:rPr>
          <w:sz w:val="22"/>
          <w:szCs w:val="22"/>
        </w:rPr>
      </w:pPr>
      <w:r w:rsidRPr="000071A9">
        <w:rPr>
          <w:sz w:val="22"/>
          <w:szCs w:val="22"/>
        </w:rPr>
        <w:t>Je vous transmets en annexes différentes lectures qui témoignent de l’inquiétude des loueurs de meublés non-professionnels.</w:t>
      </w:r>
    </w:p>
    <w:p w14:paraId="02FD927D" w14:textId="18FA14E0" w:rsidR="008D2010" w:rsidRPr="000071A9" w:rsidRDefault="008D2010" w:rsidP="008D2010">
      <w:pPr>
        <w:jc w:val="both"/>
        <w:rPr>
          <w:sz w:val="22"/>
          <w:szCs w:val="22"/>
        </w:rPr>
      </w:pPr>
    </w:p>
    <w:p w14:paraId="767F4730" w14:textId="6AA56061" w:rsidR="001474BB" w:rsidRPr="000071A9" w:rsidRDefault="001474BB" w:rsidP="008D2010">
      <w:pPr>
        <w:jc w:val="both"/>
        <w:rPr>
          <w:sz w:val="22"/>
          <w:szCs w:val="22"/>
        </w:rPr>
      </w:pPr>
      <w:r w:rsidRPr="000071A9">
        <w:rPr>
          <w:sz w:val="22"/>
          <w:szCs w:val="22"/>
        </w:rPr>
        <w:t xml:space="preserve">Comptant sur votre compréhension, </w:t>
      </w:r>
      <w:r w:rsidR="008D2010" w:rsidRPr="000071A9">
        <w:rPr>
          <w:sz w:val="22"/>
          <w:szCs w:val="22"/>
        </w:rPr>
        <w:t xml:space="preserve">et me tenant à votre disposition pour en discuter, </w:t>
      </w:r>
      <w:r w:rsidRPr="000071A9">
        <w:rPr>
          <w:sz w:val="22"/>
          <w:szCs w:val="22"/>
        </w:rPr>
        <w:t xml:space="preserve">je vous prie d'agréer </w:t>
      </w:r>
      <w:r w:rsidR="003A4A90">
        <w:rPr>
          <w:sz w:val="22"/>
          <w:szCs w:val="22"/>
        </w:rPr>
        <w:t>Mesdames, Messieurs</w:t>
      </w:r>
      <w:r w:rsidRPr="000071A9">
        <w:rPr>
          <w:sz w:val="22"/>
          <w:szCs w:val="22"/>
        </w:rPr>
        <w:t>, l'expression de mes sentiments distingués.</w:t>
      </w:r>
    </w:p>
    <w:p w14:paraId="541ED4C9" w14:textId="3DD615CF" w:rsidR="008D2010" w:rsidRPr="000071A9" w:rsidRDefault="008D2010" w:rsidP="008D2010">
      <w:pPr>
        <w:jc w:val="both"/>
        <w:rPr>
          <w:sz w:val="22"/>
          <w:szCs w:val="22"/>
        </w:rPr>
      </w:pPr>
    </w:p>
    <w:p w14:paraId="197FA3DE" w14:textId="41CBCCCE" w:rsidR="000B6F59" w:rsidRDefault="000B6F59">
      <w:pPr>
        <w:rPr>
          <w:sz w:val="22"/>
          <w:szCs w:val="22"/>
        </w:rPr>
      </w:pPr>
      <w:r>
        <w:rPr>
          <w:sz w:val="22"/>
          <w:szCs w:val="22"/>
        </w:rPr>
        <w:br w:type="page"/>
      </w:r>
    </w:p>
    <w:p w14:paraId="427CC517" w14:textId="77777777" w:rsidR="008D2010" w:rsidRPr="000071A9" w:rsidRDefault="008D2010" w:rsidP="008D2010">
      <w:pPr>
        <w:jc w:val="both"/>
        <w:rPr>
          <w:sz w:val="22"/>
          <w:szCs w:val="22"/>
        </w:rPr>
      </w:pPr>
      <w:bookmarkStart w:id="7" w:name="OLE_LINK7"/>
      <w:bookmarkStart w:id="8" w:name="OLE_LINK8"/>
    </w:p>
    <w:p w14:paraId="0BDB0230" w14:textId="36E85A7A" w:rsidR="001E010E" w:rsidRPr="000071A9" w:rsidRDefault="000F6C14" w:rsidP="00340E1E">
      <w:pPr>
        <w:jc w:val="center"/>
        <w:rPr>
          <w:sz w:val="22"/>
          <w:szCs w:val="22"/>
        </w:rPr>
      </w:pPr>
      <w:r w:rsidRPr="000071A9">
        <w:rPr>
          <w:sz w:val="22"/>
          <w:szCs w:val="22"/>
        </w:rPr>
        <w:t>ANNEXES</w:t>
      </w:r>
    </w:p>
    <w:p w14:paraId="1005CDDC" w14:textId="77777777" w:rsidR="000F6C14" w:rsidRPr="000071A9" w:rsidRDefault="000F6C14">
      <w:pPr>
        <w:rPr>
          <w:sz w:val="22"/>
          <w:szCs w:val="22"/>
        </w:rPr>
      </w:pPr>
    </w:p>
    <w:p w14:paraId="15816A03" w14:textId="132D5E49" w:rsidR="00041B6C" w:rsidRPr="000071A9" w:rsidRDefault="00041B6C">
      <w:pPr>
        <w:rPr>
          <w:sz w:val="22"/>
          <w:szCs w:val="22"/>
        </w:rPr>
      </w:pPr>
      <w:r w:rsidRPr="000071A9">
        <w:rPr>
          <w:sz w:val="22"/>
          <w:szCs w:val="22"/>
        </w:rPr>
        <w:t>L’inquiétude des loueurs de meublés visés par cet article est grande comme en témoignent :</w:t>
      </w:r>
    </w:p>
    <w:p w14:paraId="4E86C679" w14:textId="77777777" w:rsidR="00041B6C" w:rsidRPr="000071A9" w:rsidRDefault="00041B6C">
      <w:pPr>
        <w:rPr>
          <w:sz w:val="22"/>
          <w:szCs w:val="22"/>
        </w:rPr>
      </w:pPr>
    </w:p>
    <w:p w14:paraId="625BBB46" w14:textId="77C01CC5" w:rsidR="004B3240" w:rsidRPr="000071A9" w:rsidRDefault="00041B6C">
      <w:pPr>
        <w:rPr>
          <w:sz w:val="22"/>
          <w:szCs w:val="22"/>
        </w:rPr>
      </w:pPr>
      <w:r w:rsidRPr="000071A9">
        <w:rPr>
          <w:sz w:val="22"/>
          <w:szCs w:val="22"/>
        </w:rPr>
        <w:t>Cette p</w:t>
      </w:r>
      <w:r w:rsidR="00E51858" w:rsidRPr="000071A9">
        <w:rPr>
          <w:sz w:val="22"/>
          <w:szCs w:val="22"/>
        </w:rPr>
        <w:t xml:space="preserve">étition </w:t>
      </w:r>
      <w:r w:rsidRPr="000071A9">
        <w:rPr>
          <w:sz w:val="22"/>
          <w:szCs w:val="22"/>
        </w:rPr>
        <w:t>déjà signée par près de 2000 hébergeurs</w:t>
      </w:r>
      <w:r w:rsidR="004B3240" w:rsidRPr="000071A9">
        <w:rPr>
          <w:sz w:val="22"/>
          <w:szCs w:val="22"/>
        </w:rPr>
        <w:t xml:space="preserve"> : </w:t>
      </w:r>
      <w:hyperlink r:id="rId11" w:history="1">
        <w:r w:rsidR="004B3240" w:rsidRPr="000071A9">
          <w:rPr>
            <w:rStyle w:val="Lienhypertexte"/>
            <w:rFonts w:asciiTheme="minorHAnsi" w:hAnsiTheme="minorHAnsi"/>
            <w:szCs w:val="22"/>
          </w:rPr>
          <w:t>https://www.change.org/p/non-au-paiement-de-cotisations-sociales-pour-les-meublés-de-tourisme-non-professionnels-stoparticle10plfss2017</w:t>
        </w:r>
      </w:hyperlink>
    </w:p>
    <w:p w14:paraId="642FDBD2" w14:textId="3DF71456" w:rsidR="004B3240" w:rsidRPr="000071A9" w:rsidRDefault="00041B6C">
      <w:pPr>
        <w:rPr>
          <w:sz w:val="22"/>
          <w:szCs w:val="22"/>
        </w:rPr>
      </w:pPr>
      <w:proofErr w:type="gramStart"/>
      <w:r w:rsidRPr="000071A9">
        <w:rPr>
          <w:sz w:val="22"/>
          <w:szCs w:val="22"/>
        </w:rPr>
        <w:t>et</w:t>
      </w:r>
      <w:proofErr w:type="gramEnd"/>
      <w:r w:rsidRPr="000071A9">
        <w:rPr>
          <w:sz w:val="22"/>
          <w:szCs w:val="22"/>
        </w:rPr>
        <w:t xml:space="preserve"> où vous </w:t>
      </w:r>
      <w:r w:rsidR="004B3240" w:rsidRPr="000071A9">
        <w:rPr>
          <w:sz w:val="22"/>
          <w:szCs w:val="22"/>
        </w:rPr>
        <w:t xml:space="preserve">pourrez lire </w:t>
      </w:r>
      <w:r w:rsidRPr="000071A9">
        <w:rPr>
          <w:sz w:val="22"/>
          <w:szCs w:val="22"/>
        </w:rPr>
        <w:t xml:space="preserve">des </w:t>
      </w:r>
      <w:r w:rsidR="002B4AF5" w:rsidRPr="000071A9">
        <w:rPr>
          <w:sz w:val="22"/>
          <w:szCs w:val="22"/>
        </w:rPr>
        <w:t>milliers</w:t>
      </w:r>
      <w:r w:rsidRPr="000071A9">
        <w:rPr>
          <w:sz w:val="22"/>
          <w:szCs w:val="22"/>
        </w:rPr>
        <w:t xml:space="preserve"> de commentaires</w:t>
      </w:r>
      <w:r w:rsidR="004B3240" w:rsidRPr="000071A9">
        <w:rPr>
          <w:sz w:val="22"/>
          <w:szCs w:val="22"/>
        </w:rPr>
        <w:t xml:space="preserve"> : </w:t>
      </w:r>
      <w:hyperlink r:id="rId12" w:history="1">
        <w:r w:rsidR="004B3240" w:rsidRPr="000071A9">
          <w:rPr>
            <w:rStyle w:val="Lienhypertexte"/>
            <w:rFonts w:asciiTheme="minorHAnsi" w:hAnsiTheme="minorHAnsi"/>
            <w:szCs w:val="22"/>
          </w:rPr>
          <w:t>https://www.change.org/p/non-au-paiement-de-cotisations-sociales-pour-les-meublés-de-tourisme-non-professionnels-stoparticle10plfss2017/c</w:t>
        </w:r>
      </w:hyperlink>
    </w:p>
    <w:p w14:paraId="64AB42D9" w14:textId="77777777" w:rsidR="004B3240" w:rsidRPr="000071A9" w:rsidRDefault="004B3240">
      <w:pPr>
        <w:rPr>
          <w:sz w:val="22"/>
          <w:szCs w:val="22"/>
        </w:rPr>
      </w:pPr>
    </w:p>
    <w:p w14:paraId="49D579C4" w14:textId="41D6E6A9" w:rsidR="00794240" w:rsidRPr="000071A9" w:rsidRDefault="00041B6C">
      <w:pPr>
        <w:rPr>
          <w:sz w:val="22"/>
          <w:szCs w:val="22"/>
        </w:rPr>
      </w:pPr>
      <w:r w:rsidRPr="000071A9">
        <w:rPr>
          <w:sz w:val="22"/>
          <w:szCs w:val="22"/>
        </w:rPr>
        <w:t>Cet article publié le 09 octobre 2016 qui comptabilise également d</w:t>
      </w:r>
      <w:r w:rsidR="00794240" w:rsidRPr="000071A9">
        <w:rPr>
          <w:sz w:val="22"/>
          <w:szCs w:val="22"/>
        </w:rPr>
        <w:t>es centaines de commentaires</w:t>
      </w:r>
      <w:r w:rsidRPr="000071A9">
        <w:rPr>
          <w:sz w:val="22"/>
          <w:szCs w:val="22"/>
        </w:rPr>
        <w:t xml:space="preserve"> </w:t>
      </w:r>
      <w:r w:rsidR="00794240" w:rsidRPr="000071A9">
        <w:rPr>
          <w:sz w:val="22"/>
          <w:szCs w:val="22"/>
        </w:rPr>
        <w:t xml:space="preserve">: </w:t>
      </w:r>
      <w:hyperlink r:id="rId13" w:history="1">
        <w:r w:rsidR="00794240" w:rsidRPr="000071A9">
          <w:rPr>
            <w:rStyle w:val="Lienhypertexte"/>
            <w:rFonts w:asciiTheme="minorHAnsi" w:hAnsiTheme="minorHAnsi"/>
            <w:szCs w:val="22"/>
          </w:rPr>
          <w:t>http://www.lescogiteurs.fr/sale-temps-pour-les-meubles-de-tourisme-vers-le-paiement-generalise-de-cotisations-sociales/</w:t>
        </w:r>
      </w:hyperlink>
    </w:p>
    <w:p w14:paraId="06D71B46" w14:textId="77777777" w:rsidR="00794240" w:rsidRDefault="00794240"/>
    <w:bookmarkEnd w:id="7"/>
    <w:bookmarkEnd w:id="8"/>
    <w:sectPr w:rsidR="00794240" w:rsidSect="000071A9">
      <w:headerReference w:type="default" r:id="rId14"/>
      <w:footerReference w:type="default" r:id="rId15"/>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8624" w14:textId="77777777" w:rsidR="00314E76" w:rsidRDefault="00314E76" w:rsidP="00ED1DDA">
      <w:r>
        <w:separator/>
      </w:r>
    </w:p>
  </w:endnote>
  <w:endnote w:type="continuationSeparator" w:id="0">
    <w:p w14:paraId="22F1B77B" w14:textId="77777777" w:rsidR="00314E76" w:rsidRDefault="00314E76" w:rsidP="00ED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872B" w14:textId="1F400945" w:rsidR="00ED1DDA" w:rsidRDefault="00ED1DDA">
    <w:pPr>
      <w:pStyle w:val="Pieddepage"/>
      <w:rPr>
        <w:sz w:val="20"/>
        <w:szCs w:val="20"/>
      </w:rPr>
    </w:pPr>
    <w:r>
      <w:rPr>
        <w:sz w:val="20"/>
        <w:szCs w:val="20"/>
      </w:rPr>
      <w:tab/>
    </w:r>
    <w:r>
      <w:rPr>
        <w:sz w:val="20"/>
        <w:szCs w:val="20"/>
      </w:rPr>
      <w:tab/>
      <w:t xml:space="preserve">Réseau d’hébergeurs </w:t>
    </w:r>
    <w:proofErr w:type="spellStart"/>
    <w:r>
      <w:rPr>
        <w:sz w:val="20"/>
        <w:szCs w:val="20"/>
      </w:rPr>
      <w:t>LesCoGîteurs</w:t>
    </w:r>
    <w:proofErr w:type="spellEnd"/>
  </w:p>
  <w:p w14:paraId="009F789C" w14:textId="06A882F5" w:rsidR="00ED1DDA" w:rsidRPr="00ED1DDA" w:rsidRDefault="00ED1DDA">
    <w:pPr>
      <w:pStyle w:val="Pieddepage"/>
      <w:rPr>
        <w:sz w:val="20"/>
        <w:szCs w:val="20"/>
      </w:rPr>
    </w:pPr>
    <w:r w:rsidRPr="00ED1DDA">
      <w:rPr>
        <w:sz w:val="20"/>
        <w:szCs w:val="20"/>
      </w:rPr>
      <w:t>Art. 10 et amendement 57 du PLFSS 2017</w:t>
    </w:r>
    <w:r w:rsidRPr="00ED1DDA">
      <w:rPr>
        <w:sz w:val="20"/>
        <w:szCs w:val="20"/>
      </w:rPr>
      <w:ptab w:relativeTo="margin" w:alignment="right" w:leader="none"/>
    </w:r>
    <w:r w:rsidRPr="00ED1DDA">
      <w:rPr>
        <w:sz w:val="20"/>
        <w:szCs w:val="20"/>
      </w:rPr>
      <w:t>plfss2017@lescogiteurs.fr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B899E" w14:textId="77777777" w:rsidR="00314E76" w:rsidRDefault="00314E76" w:rsidP="00ED1DDA">
      <w:r>
        <w:separator/>
      </w:r>
    </w:p>
  </w:footnote>
  <w:footnote w:type="continuationSeparator" w:id="0">
    <w:p w14:paraId="4B5FA59A" w14:textId="77777777" w:rsidR="00314E76" w:rsidRDefault="00314E76" w:rsidP="00ED1D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1C3B" w14:textId="7D8E1929" w:rsidR="00ED1DDA" w:rsidRDefault="00ED1DDA" w:rsidP="00ED1DDA">
    <w:pPr>
      <w:pStyle w:val="En-tt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471C4"/>
    <w:multiLevelType w:val="hybridMultilevel"/>
    <w:tmpl w:val="6DAA7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0B6730"/>
    <w:multiLevelType w:val="hybridMultilevel"/>
    <w:tmpl w:val="B70E2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BB"/>
    <w:rsid w:val="000071A9"/>
    <w:rsid w:val="00041B6C"/>
    <w:rsid w:val="000B6F59"/>
    <w:rsid w:val="000F6C14"/>
    <w:rsid w:val="00130E81"/>
    <w:rsid w:val="001474BB"/>
    <w:rsid w:val="001C3E91"/>
    <w:rsid w:val="00236488"/>
    <w:rsid w:val="002B4AF5"/>
    <w:rsid w:val="002E75D1"/>
    <w:rsid w:val="002F07E3"/>
    <w:rsid w:val="00314E76"/>
    <w:rsid w:val="00340E1E"/>
    <w:rsid w:val="00352529"/>
    <w:rsid w:val="0036794F"/>
    <w:rsid w:val="003A4A90"/>
    <w:rsid w:val="003F3E9B"/>
    <w:rsid w:val="004B3240"/>
    <w:rsid w:val="004F398F"/>
    <w:rsid w:val="00576E18"/>
    <w:rsid w:val="00666EAE"/>
    <w:rsid w:val="00707575"/>
    <w:rsid w:val="007622D0"/>
    <w:rsid w:val="00794240"/>
    <w:rsid w:val="007E151F"/>
    <w:rsid w:val="00812702"/>
    <w:rsid w:val="00841178"/>
    <w:rsid w:val="008D2010"/>
    <w:rsid w:val="00940C89"/>
    <w:rsid w:val="00966204"/>
    <w:rsid w:val="009C7ED5"/>
    <w:rsid w:val="009D5273"/>
    <w:rsid w:val="00A273EA"/>
    <w:rsid w:val="00A84AF1"/>
    <w:rsid w:val="00BA64A4"/>
    <w:rsid w:val="00BF33F5"/>
    <w:rsid w:val="00C139FD"/>
    <w:rsid w:val="00C35298"/>
    <w:rsid w:val="00C63682"/>
    <w:rsid w:val="00CA0EA1"/>
    <w:rsid w:val="00D70C4A"/>
    <w:rsid w:val="00D82308"/>
    <w:rsid w:val="00DF4B55"/>
    <w:rsid w:val="00E51858"/>
    <w:rsid w:val="00ED1DDA"/>
    <w:rsid w:val="00F21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13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63682"/>
    <w:rPr>
      <w:rFonts w:ascii="Arial" w:hAnsi="Arial"/>
      <w:color w:val="FF0099"/>
      <w:sz w:val="22"/>
      <w:u w:val="single"/>
    </w:rPr>
  </w:style>
  <w:style w:type="paragraph" w:styleId="Pardeliste">
    <w:name w:val="List Paragraph"/>
    <w:basedOn w:val="Normal"/>
    <w:uiPriority w:val="34"/>
    <w:qFormat/>
    <w:rsid w:val="00BF33F5"/>
    <w:pPr>
      <w:ind w:left="720"/>
      <w:contextualSpacing/>
    </w:pPr>
  </w:style>
  <w:style w:type="character" w:styleId="Lienhypertextevisit">
    <w:name w:val="FollowedHyperlink"/>
    <w:basedOn w:val="Policepardfaut"/>
    <w:uiPriority w:val="99"/>
    <w:semiHidden/>
    <w:unhideWhenUsed/>
    <w:rsid w:val="002F07E3"/>
    <w:rPr>
      <w:color w:val="954F72" w:themeColor="followedHyperlink"/>
      <w:u w:val="single"/>
    </w:rPr>
  </w:style>
  <w:style w:type="paragraph" w:styleId="En-tte">
    <w:name w:val="header"/>
    <w:basedOn w:val="Normal"/>
    <w:link w:val="En-tteCar"/>
    <w:uiPriority w:val="99"/>
    <w:unhideWhenUsed/>
    <w:rsid w:val="00ED1DDA"/>
    <w:pPr>
      <w:tabs>
        <w:tab w:val="center" w:pos="4536"/>
        <w:tab w:val="right" w:pos="9072"/>
      </w:tabs>
    </w:pPr>
  </w:style>
  <w:style w:type="character" w:customStyle="1" w:styleId="En-tteCar">
    <w:name w:val="En-tête Car"/>
    <w:basedOn w:val="Policepardfaut"/>
    <w:link w:val="En-tte"/>
    <w:uiPriority w:val="99"/>
    <w:rsid w:val="00ED1DDA"/>
  </w:style>
  <w:style w:type="paragraph" w:styleId="Pieddepage">
    <w:name w:val="footer"/>
    <w:basedOn w:val="Normal"/>
    <w:link w:val="PieddepageCar"/>
    <w:uiPriority w:val="99"/>
    <w:unhideWhenUsed/>
    <w:rsid w:val="00ED1DDA"/>
    <w:pPr>
      <w:tabs>
        <w:tab w:val="center" w:pos="4536"/>
        <w:tab w:val="right" w:pos="9072"/>
      </w:tabs>
    </w:pPr>
  </w:style>
  <w:style w:type="character" w:customStyle="1" w:styleId="PieddepageCar">
    <w:name w:val="Pied de page Car"/>
    <w:basedOn w:val="Policepardfaut"/>
    <w:link w:val="Pieddepage"/>
    <w:uiPriority w:val="99"/>
    <w:rsid w:val="00ED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5335">
      <w:bodyDiv w:val="1"/>
      <w:marLeft w:val="0"/>
      <w:marRight w:val="0"/>
      <w:marTop w:val="0"/>
      <w:marBottom w:val="0"/>
      <w:divBdr>
        <w:top w:val="none" w:sz="0" w:space="0" w:color="auto"/>
        <w:left w:val="none" w:sz="0" w:space="0" w:color="auto"/>
        <w:bottom w:val="none" w:sz="0" w:space="0" w:color="auto"/>
        <w:right w:val="none" w:sz="0" w:space="0" w:color="auto"/>
      </w:divBdr>
    </w:div>
    <w:div w:id="276375379">
      <w:bodyDiv w:val="1"/>
      <w:marLeft w:val="0"/>
      <w:marRight w:val="0"/>
      <w:marTop w:val="0"/>
      <w:marBottom w:val="0"/>
      <w:divBdr>
        <w:top w:val="none" w:sz="0" w:space="0" w:color="auto"/>
        <w:left w:val="none" w:sz="0" w:space="0" w:color="auto"/>
        <w:bottom w:val="none" w:sz="0" w:space="0" w:color="auto"/>
        <w:right w:val="none" w:sz="0" w:space="0" w:color="auto"/>
      </w:divBdr>
      <w:divsChild>
        <w:div w:id="1991710979">
          <w:marLeft w:val="0"/>
          <w:marRight w:val="0"/>
          <w:marTop w:val="0"/>
          <w:marBottom w:val="0"/>
          <w:divBdr>
            <w:top w:val="none" w:sz="0" w:space="0" w:color="auto"/>
            <w:left w:val="none" w:sz="0" w:space="0" w:color="auto"/>
            <w:bottom w:val="none" w:sz="0" w:space="0" w:color="auto"/>
            <w:right w:val="none" w:sz="0" w:space="0" w:color="auto"/>
          </w:divBdr>
        </w:div>
      </w:divsChild>
    </w:div>
    <w:div w:id="611522179">
      <w:bodyDiv w:val="1"/>
      <w:marLeft w:val="0"/>
      <w:marRight w:val="0"/>
      <w:marTop w:val="0"/>
      <w:marBottom w:val="0"/>
      <w:divBdr>
        <w:top w:val="none" w:sz="0" w:space="0" w:color="auto"/>
        <w:left w:val="none" w:sz="0" w:space="0" w:color="auto"/>
        <w:bottom w:val="none" w:sz="0" w:space="0" w:color="auto"/>
        <w:right w:val="none" w:sz="0" w:space="0" w:color="auto"/>
      </w:divBdr>
    </w:div>
    <w:div w:id="707417826">
      <w:bodyDiv w:val="1"/>
      <w:marLeft w:val="0"/>
      <w:marRight w:val="0"/>
      <w:marTop w:val="0"/>
      <w:marBottom w:val="0"/>
      <w:divBdr>
        <w:top w:val="none" w:sz="0" w:space="0" w:color="auto"/>
        <w:left w:val="none" w:sz="0" w:space="0" w:color="auto"/>
        <w:bottom w:val="none" w:sz="0" w:space="0" w:color="auto"/>
        <w:right w:val="none" w:sz="0" w:space="0" w:color="auto"/>
      </w:divBdr>
    </w:div>
    <w:div w:id="1208758411">
      <w:bodyDiv w:val="1"/>
      <w:marLeft w:val="0"/>
      <w:marRight w:val="0"/>
      <w:marTop w:val="0"/>
      <w:marBottom w:val="0"/>
      <w:divBdr>
        <w:top w:val="none" w:sz="0" w:space="0" w:color="auto"/>
        <w:left w:val="none" w:sz="0" w:space="0" w:color="auto"/>
        <w:bottom w:val="none" w:sz="0" w:space="0" w:color="auto"/>
        <w:right w:val="none" w:sz="0" w:space="0" w:color="auto"/>
      </w:divBdr>
    </w:div>
    <w:div w:id="1927424728">
      <w:bodyDiv w:val="1"/>
      <w:marLeft w:val="0"/>
      <w:marRight w:val="0"/>
      <w:marTop w:val="0"/>
      <w:marBottom w:val="0"/>
      <w:divBdr>
        <w:top w:val="none" w:sz="0" w:space="0" w:color="auto"/>
        <w:left w:val="none" w:sz="0" w:space="0" w:color="auto"/>
        <w:bottom w:val="none" w:sz="0" w:space="0" w:color="auto"/>
        <w:right w:val="none" w:sz="0" w:space="0" w:color="auto"/>
      </w:divBdr>
      <w:divsChild>
        <w:div w:id="9703581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hange.org/p/non-au-paiement-de-cotisations-sociales-pour-les-meubl&#233;s-de-tourisme-non-professionnels-stoparticle10plfss2017" TargetMode="External"/><Relationship Id="rId12" Type="http://schemas.openxmlformats.org/officeDocument/2006/relationships/hyperlink" Target="https://www.change.org/p/non-au-paiement-de-cotisations-sociales-pour-les-meubl&#233;s-de-tourisme-non-professionnels-stoparticle10plfss2017/c" TargetMode="External"/><Relationship Id="rId13" Type="http://schemas.openxmlformats.org/officeDocument/2006/relationships/hyperlink" Target="http://www.lescogiteurs.fr/sale-temps-pour-les-meubles-de-tourisme-vers-le-paiement-generalise-de-cotisations-sociale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enat.fr/amendements/2016-2017/106/Amdt_57.html" TargetMode="External"/><Relationship Id="rId8" Type="http://schemas.openxmlformats.org/officeDocument/2006/relationships/hyperlink" Target="https://www.service-public.fr/professionnels-entreprises/vosdroits/F32805" TargetMode="External"/><Relationship Id="rId9" Type="http://schemas.openxmlformats.org/officeDocument/2006/relationships/hyperlink" Target="http://www.assemblee-nationale.fr/14/projets/pl4072.asp" TargetMode="External"/><Relationship Id="rId10" Type="http://schemas.openxmlformats.org/officeDocument/2006/relationships/hyperlink" Target="http://www.lemonde.fr/economie/article/2016/04/26/airbnb-berlin-durcit-les-regles-pour-les-locations-touristiques_4909031_3234.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1303</Words>
  <Characters>7169</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2016-11-20T17:18:00Z</dcterms:created>
  <dcterms:modified xsi:type="dcterms:W3CDTF">2016-11-20T17:25:00Z</dcterms:modified>
  <cp:category/>
</cp:coreProperties>
</file>